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34" w:type="dxa"/>
        <w:tblCellMar>
          <w:left w:w="0" w:type="dxa"/>
          <w:right w:w="0" w:type="dxa"/>
        </w:tblCellMar>
        <w:tblLook w:val="04A0" w:firstRow="1" w:lastRow="0" w:firstColumn="1" w:lastColumn="0" w:noHBand="0" w:noVBand="1"/>
      </w:tblPr>
      <w:tblGrid>
        <w:gridCol w:w="3420"/>
        <w:gridCol w:w="5760"/>
      </w:tblGrid>
      <w:tr w:rsidR="00BE243B" w:rsidTr="00BE243B">
        <w:tc>
          <w:tcPr>
            <w:tcW w:w="3420" w:type="dxa"/>
            <w:tcMar>
              <w:top w:w="0" w:type="dxa"/>
              <w:left w:w="108" w:type="dxa"/>
              <w:bottom w:w="0" w:type="dxa"/>
              <w:right w:w="108" w:type="dxa"/>
            </w:tcMar>
            <w:hideMark/>
          </w:tcPr>
          <w:p w:rsidR="00BE243B" w:rsidRDefault="00BE243B">
            <w:pPr>
              <w:pStyle w:val="NormalWeb"/>
              <w:spacing w:before="0" w:beforeAutospacing="0" w:after="0" w:afterAutospacing="0" w:line="340" w:lineRule="atLeast"/>
              <w:jc w:val="center"/>
              <w:rPr>
                <w:sz w:val="26"/>
                <w:szCs w:val="26"/>
              </w:rPr>
            </w:pPr>
            <w:r>
              <w:rPr>
                <w:noProof/>
              </w:rPr>
              <mc:AlternateContent>
                <mc:Choice Requires="wps">
                  <w:drawing>
                    <wp:anchor distT="0" distB="0" distL="114300" distR="114300" simplePos="0" relativeHeight="251659264" behindDoc="0" locked="0" layoutInCell="1" allowOverlap="1" wp14:anchorId="48A1D801" wp14:editId="1EFA8C40">
                      <wp:simplePos x="0" y="0"/>
                      <wp:positionH relativeFrom="column">
                        <wp:posOffset>632460</wp:posOffset>
                      </wp:positionH>
                      <wp:positionV relativeFrom="paragraph">
                        <wp:posOffset>537210</wp:posOffset>
                      </wp:positionV>
                      <wp:extent cx="838200" cy="0"/>
                      <wp:effectExtent l="13335" t="13335" r="5715"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EB7B32" id="_x0000_t32" coordsize="21600,21600" o:spt="32" o:oned="t" path="m,l21600,21600e" filled="f">
                      <v:path arrowok="t" fillok="f" o:connecttype="none"/>
                      <o:lock v:ext="edit" shapetype="t"/>
                    </v:shapetype>
                    <v:shape id="AutoShape 2" o:spid="_x0000_s1026" type="#_x0000_t32" style="position:absolute;margin-left:49.8pt;margin-top:42.3pt;width: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vm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"/>
                  </w:pict>
                </mc:Fallback>
              </mc:AlternateContent>
            </w:r>
            <w:r>
              <w:rPr>
                <w:b/>
                <w:bCs/>
                <w:sz w:val="26"/>
                <w:szCs w:val="26"/>
              </w:rPr>
              <w:t>NGÂN HÀNG NHÀ NƯỚC VIỆT NAM</w:t>
            </w:r>
            <w:r>
              <w:rPr>
                <w:b/>
                <w:bCs/>
                <w:sz w:val="26"/>
                <w:szCs w:val="26"/>
              </w:rPr>
              <w:br/>
            </w:r>
          </w:p>
        </w:tc>
        <w:tc>
          <w:tcPr>
            <w:tcW w:w="5760" w:type="dxa"/>
            <w:tcMar>
              <w:top w:w="0" w:type="dxa"/>
              <w:left w:w="108" w:type="dxa"/>
              <w:bottom w:w="0" w:type="dxa"/>
              <w:right w:w="108" w:type="dxa"/>
            </w:tcMar>
            <w:hideMark/>
          </w:tcPr>
          <w:p w:rsidR="00BE243B" w:rsidRDefault="00BE243B">
            <w:pPr>
              <w:pStyle w:val="NormalWeb"/>
              <w:spacing w:before="0" w:beforeAutospacing="0" w:after="0" w:afterAutospacing="0" w:line="340" w:lineRule="atLeast"/>
              <w:ind w:right="-142"/>
              <w:jc w:val="center"/>
              <w:rPr>
                <w:sz w:val="26"/>
                <w:szCs w:val="26"/>
              </w:rPr>
            </w:pPr>
            <w:r>
              <w:rPr>
                <w:noProof/>
              </w:rPr>
              <mc:AlternateContent>
                <mc:Choice Requires="wps">
                  <w:drawing>
                    <wp:anchor distT="0" distB="0" distL="114300" distR="114300" simplePos="0" relativeHeight="251660288" behindDoc="0" locked="0" layoutInCell="1" allowOverlap="1" wp14:anchorId="03E8889E" wp14:editId="452EE5A0">
                      <wp:simplePos x="0" y="0"/>
                      <wp:positionH relativeFrom="column">
                        <wp:posOffset>832485</wp:posOffset>
                      </wp:positionH>
                      <wp:positionV relativeFrom="paragraph">
                        <wp:posOffset>537210</wp:posOffset>
                      </wp:positionV>
                      <wp:extent cx="1895475" cy="0"/>
                      <wp:effectExtent l="13335" t="13335" r="5715"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B7A63" id="AutoShape 3" o:spid="_x0000_s1026" type="#_x0000_t32" style="position:absolute;margin-left:65.55pt;margin-top:42.3pt;width:149.2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opJQIAAEU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"/>
                  </w:pict>
                </mc:Fallback>
              </mc:AlternateContent>
            </w:r>
            <w:r>
              <w:rPr>
                <w:b/>
                <w:bCs/>
                <w:sz w:val="26"/>
                <w:szCs w:val="26"/>
                <w:lang w:val="vi-VN"/>
              </w:rPr>
              <w:t xml:space="preserve"> </w:t>
            </w:r>
            <w:r>
              <w:rPr>
                <w:b/>
                <w:bCs/>
                <w:sz w:val="26"/>
                <w:szCs w:val="26"/>
              </w:rPr>
              <w:t>CỘNG HÒA XÃ HỘI CHỦ NGHĨA VIỆT NAM</w:t>
            </w:r>
            <w:r>
              <w:rPr>
                <w:b/>
                <w:bCs/>
                <w:sz w:val="26"/>
                <w:szCs w:val="26"/>
              </w:rPr>
              <w:br/>
            </w:r>
            <w:r>
              <w:rPr>
                <w:b/>
                <w:bCs/>
                <w:sz w:val="27"/>
                <w:szCs w:val="27"/>
              </w:rPr>
              <w:t>Độc lập - Tự do - Hạnh phúc</w:t>
            </w:r>
            <w:r>
              <w:rPr>
                <w:b/>
                <w:bCs/>
                <w:sz w:val="26"/>
                <w:szCs w:val="26"/>
              </w:rPr>
              <w:br/>
            </w:r>
          </w:p>
        </w:tc>
      </w:tr>
      <w:tr w:rsidR="00BE243B" w:rsidTr="00BE243B">
        <w:tc>
          <w:tcPr>
            <w:tcW w:w="3420" w:type="dxa"/>
            <w:tcMar>
              <w:top w:w="0" w:type="dxa"/>
              <w:left w:w="108" w:type="dxa"/>
              <w:bottom w:w="0" w:type="dxa"/>
              <w:right w:w="108" w:type="dxa"/>
            </w:tcMar>
            <w:hideMark/>
          </w:tcPr>
          <w:p w:rsidR="00BE243B" w:rsidRDefault="00BE243B">
            <w:pPr>
              <w:pStyle w:val="NormalWeb"/>
              <w:spacing w:before="120" w:beforeAutospacing="0" w:after="120" w:afterAutospacing="0" w:line="340" w:lineRule="atLeast"/>
              <w:jc w:val="center"/>
              <w:rPr>
                <w:sz w:val="26"/>
                <w:szCs w:val="26"/>
              </w:rPr>
            </w:pPr>
            <w:r>
              <w:rPr>
                <w:sz w:val="26"/>
                <w:szCs w:val="26"/>
              </w:rPr>
              <w:t>Số: 17/2018/TT-NHNN</w:t>
            </w:r>
          </w:p>
        </w:tc>
        <w:tc>
          <w:tcPr>
            <w:tcW w:w="5760" w:type="dxa"/>
            <w:tcMar>
              <w:top w:w="0" w:type="dxa"/>
              <w:left w:w="108" w:type="dxa"/>
              <w:bottom w:w="0" w:type="dxa"/>
              <w:right w:w="108" w:type="dxa"/>
            </w:tcMar>
            <w:hideMark/>
          </w:tcPr>
          <w:p w:rsidR="00BE243B" w:rsidRDefault="00BE243B">
            <w:pPr>
              <w:pStyle w:val="NormalWeb"/>
              <w:spacing w:before="120" w:beforeAutospacing="0" w:after="120" w:afterAutospacing="0" w:line="340" w:lineRule="atLeast"/>
              <w:jc w:val="center"/>
              <w:rPr>
                <w:sz w:val="27"/>
                <w:szCs w:val="27"/>
              </w:rPr>
            </w:pPr>
            <w:r>
              <w:rPr>
                <w:i/>
                <w:iCs/>
                <w:sz w:val="28"/>
                <w:szCs w:val="28"/>
              </w:rPr>
              <w:t xml:space="preserve"> </w:t>
            </w:r>
            <w:r>
              <w:rPr>
                <w:i/>
                <w:iCs/>
                <w:sz w:val="27"/>
                <w:szCs w:val="27"/>
              </w:rPr>
              <w:t>Hà Nội, ngày 14  tháng  8 năm 2018</w:t>
            </w:r>
          </w:p>
        </w:tc>
      </w:tr>
    </w:tbl>
    <w:p w:rsidR="00BE243B" w:rsidRDefault="00BE243B" w:rsidP="00BE243B">
      <w:pPr>
        <w:pStyle w:val="NormalWeb"/>
        <w:tabs>
          <w:tab w:val="left" w:pos="204"/>
          <w:tab w:val="center" w:pos="4702"/>
        </w:tabs>
        <w:spacing w:before="0" w:beforeAutospacing="0" w:after="0" w:afterAutospacing="0" w:line="340" w:lineRule="atLeast"/>
        <w:rPr>
          <w:b/>
          <w:bCs/>
          <w:sz w:val="28"/>
          <w:szCs w:val="28"/>
        </w:rPr>
      </w:pPr>
      <w:r>
        <w:rPr>
          <w:b/>
          <w:bCs/>
          <w:sz w:val="28"/>
          <w:szCs w:val="28"/>
        </w:rPr>
        <w:tab/>
        <w:t xml:space="preserve">   </w:t>
      </w:r>
    </w:p>
    <w:p w:rsidR="00BE243B" w:rsidRPr="00BE243B" w:rsidRDefault="00BE243B" w:rsidP="00BE243B">
      <w:pPr>
        <w:pStyle w:val="NormalWeb"/>
        <w:tabs>
          <w:tab w:val="left" w:pos="204"/>
          <w:tab w:val="center" w:pos="4702"/>
        </w:tabs>
        <w:spacing w:before="0" w:beforeAutospacing="0" w:after="0" w:afterAutospacing="0" w:line="340" w:lineRule="atLeast"/>
        <w:rPr>
          <w:b/>
          <w:bCs/>
          <w:sz w:val="28"/>
          <w:szCs w:val="28"/>
        </w:rPr>
      </w:pPr>
      <w:r>
        <w:rPr>
          <w:b/>
          <w:bCs/>
          <w:sz w:val="28"/>
          <w:szCs w:val="28"/>
        </w:rPr>
        <w:t xml:space="preserve">                                                            </w:t>
      </w:r>
      <w:r>
        <w:rPr>
          <w:b/>
          <w:bCs/>
          <w:sz w:val="28"/>
          <w:szCs w:val="28"/>
        </w:rPr>
        <w:t>THÔNG TƯ</w:t>
      </w:r>
    </w:p>
    <w:p w:rsidR="00BE243B" w:rsidRDefault="00BE243B" w:rsidP="00BE243B">
      <w:pPr>
        <w:pStyle w:val="NormalWeb"/>
        <w:spacing w:before="120" w:beforeAutospacing="0" w:after="0" w:afterAutospacing="0" w:line="340" w:lineRule="atLeast"/>
        <w:ind w:left="851" w:right="425"/>
        <w:jc w:val="center"/>
        <w:rPr>
          <w:b/>
          <w:bCs/>
          <w:sz w:val="28"/>
          <w:szCs w:val="28"/>
        </w:rPr>
      </w:pPr>
      <w:r>
        <w:rPr>
          <w:b/>
          <w:bCs/>
          <w:sz w:val="28"/>
          <w:szCs w:val="28"/>
        </w:rPr>
        <w:t xml:space="preserve">   Sửa đổi, bổ sung một số điều của các Thông tư quy định về </w:t>
      </w:r>
    </w:p>
    <w:p w:rsidR="00BE243B" w:rsidRDefault="00BE243B" w:rsidP="00BE243B">
      <w:pPr>
        <w:pStyle w:val="NormalWeb"/>
        <w:spacing w:before="0" w:beforeAutospacing="0" w:after="0" w:afterAutospacing="0" w:line="340" w:lineRule="atLeast"/>
        <w:ind w:left="851" w:right="425"/>
        <w:jc w:val="center"/>
        <w:rPr>
          <w:b/>
          <w:bCs/>
          <w:sz w:val="28"/>
          <w:szCs w:val="28"/>
        </w:rPr>
      </w:pPr>
      <w:proofErr w:type="gramStart"/>
      <w:r>
        <w:rPr>
          <w:b/>
          <w:bCs/>
          <w:sz w:val="28"/>
          <w:szCs w:val="28"/>
        </w:rPr>
        <w:t>việc</w:t>
      </w:r>
      <w:proofErr w:type="gramEnd"/>
      <w:r>
        <w:rPr>
          <w:b/>
          <w:bCs/>
          <w:sz w:val="28"/>
          <w:szCs w:val="28"/>
        </w:rPr>
        <w:t xml:space="preserve"> cấp Giấy phép, mạng lưới hoạt động và hoạt động ngoại hối </w:t>
      </w:r>
    </w:p>
    <w:p w:rsidR="00BE243B" w:rsidRDefault="00BE243B" w:rsidP="00BE243B">
      <w:pPr>
        <w:pStyle w:val="NormalWeb"/>
        <w:spacing w:before="0" w:beforeAutospacing="0" w:after="0" w:afterAutospacing="0" w:line="340" w:lineRule="atLeast"/>
        <w:ind w:left="851" w:right="425"/>
        <w:jc w:val="center"/>
        <w:rPr>
          <w:b/>
          <w:bCs/>
          <w:sz w:val="28"/>
          <w:szCs w:val="28"/>
        </w:rPr>
      </w:pPr>
      <w:proofErr w:type="gramStart"/>
      <w:r>
        <w:rPr>
          <w:b/>
          <w:bCs/>
          <w:sz w:val="28"/>
          <w:szCs w:val="28"/>
        </w:rPr>
        <w:t>của</w:t>
      </w:r>
      <w:proofErr w:type="gramEnd"/>
      <w:r>
        <w:rPr>
          <w:b/>
          <w:bCs/>
          <w:sz w:val="28"/>
          <w:szCs w:val="28"/>
        </w:rPr>
        <w:t xml:space="preserve"> tổ chức tín dụng, chi nhánh ngân hàng nước ngoài</w:t>
      </w:r>
    </w:p>
    <w:p w:rsidR="00BE243B" w:rsidRDefault="00BE243B" w:rsidP="00BE243B">
      <w:pPr>
        <w:pStyle w:val="NormalWeb"/>
        <w:spacing w:before="120" w:beforeAutospacing="0" w:after="0" w:afterAutospacing="0" w:line="340" w:lineRule="atLeast"/>
        <w:jc w:val="center"/>
        <w:rPr>
          <w:sz w:val="28"/>
          <w:szCs w:val="28"/>
        </w:rPr>
      </w:pPr>
      <w:r>
        <w:rPr>
          <w:sz w:val="28"/>
          <w:szCs w:val="28"/>
        </w:rPr>
        <w:t xml:space="preserve"> </w:t>
      </w:r>
    </w:p>
    <w:p w:rsidR="00BE243B" w:rsidRDefault="00BE243B" w:rsidP="00BE243B">
      <w:pPr>
        <w:spacing w:before="120" w:line="340" w:lineRule="atLeast"/>
        <w:ind w:firstLine="720"/>
        <w:jc w:val="both"/>
        <w:rPr>
          <w:i/>
          <w:iCs/>
          <w:sz w:val="28"/>
        </w:rPr>
      </w:pPr>
      <w:r>
        <w:rPr>
          <w:i/>
          <w:iCs/>
          <w:sz w:val="28"/>
        </w:rPr>
        <w:t>Căn cứ Luật Ngân hàng Nhà nước Việt Nam ngày 16 tháng 6 năm 2010;</w:t>
      </w:r>
    </w:p>
    <w:p w:rsidR="00BE243B" w:rsidRDefault="00BE243B" w:rsidP="00BE243B">
      <w:pPr>
        <w:spacing w:before="120" w:line="340" w:lineRule="atLeast"/>
        <w:ind w:firstLine="720"/>
        <w:jc w:val="both"/>
        <w:rPr>
          <w:i/>
          <w:iCs/>
          <w:sz w:val="28"/>
        </w:rPr>
      </w:pPr>
      <w:r>
        <w:rPr>
          <w:i/>
          <w:iCs/>
          <w:sz w:val="28"/>
        </w:rPr>
        <w:t>Căn cứ Luật các tổ chức tín dụng ngày 16 tháng 6 năm 2010 và Luật sửa đổi, bổ sung một số điều của Luật các tổ chức tín dụng ngày 20 tháng 11 năm 2017;</w:t>
      </w:r>
    </w:p>
    <w:p w:rsidR="00BE243B" w:rsidRDefault="00BE243B" w:rsidP="00BE243B">
      <w:pPr>
        <w:spacing w:before="120" w:line="340" w:lineRule="atLeast"/>
        <w:ind w:firstLine="720"/>
        <w:jc w:val="both"/>
        <w:rPr>
          <w:i/>
          <w:iCs/>
          <w:sz w:val="28"/>
        </w:rPr>
      </w:pPr>
      <w:r>
        <w:rPr>
          <w:i/>
          <w:iCs/>
          <w:sz w:val="28"/>
        </w:rPr>
        <w:t>Căn cứ Nghị định số 16/2017/NĐ-CP ngày 17 tháng 02 năm 2017 của Chính phủ quy định chức năng, nhiệm vụ, quyền hạn và cơ cấu tổ chức của Ngân hàng Nhà nước Việt Nam;</w:t>
      </w:r>
    </w:p>
    <w:p w:rsidR="00BE243B" w:rsidRDefault="00BE243B" w:rsidP="00BE243B">
      <w:pPr>
        <w:spacing w:before="120" w:line="340" w:lineRule="atLeast"/>
        <w:ind w:firstLine="720"/>
        <w:jc w:val="both"/>
        <w:rPr>
          <w:i/>
          <w:iCs/>
          <w:sz w:val="28"/>
        </w:rPr>
      </w:pPr>
      <w:r>
        <w:rPr>
          <w:i/>
          <w:iCs/>
          <w:sz w:val="28"/>
        </w:rPr>
        <w:t>Theo đề nghị của Vụ trưởng Vụ Pháp chế;</w:t>
      </w:r>
    </w:p>
    <w:p w:rsidR="00BE243B" w:rsidRDefault="00BE243B" w:rsidP="00BE243B">
      <w:pPr>
        <w:spacing w:before="120" w:line="340" w:lineRule="atLeast"/>
        <w:ind w:firstLine="720"/>
        <w:jc w:val="both"/>
        <w:rPr>
          <w:sz w:val="28"/>
        </w:rPr>
      </w:pPr>
      <w:r>
        <w:rPr>
          <w:i/>
          <w:iCs/>
          <w:sz w:val="28"/>
        </w:rPr>
        <w:t>Thống đốc Ngân hàng Nhà nước Việt Nam ban hành Thông tư sửa đổi, bổ sung một số điều của các Thông tư quy định về việc cấp Giấy phép, mạng lưới hoạt động và hoạt động ngoại hối của tổ chức tín dụng, chi nhánh ngân hàng nước ngoài</w:t>
      </w:r>
      <w:r>
        <w:rPr>
          <w:sz w:val="28"/>
        </w:rPr>
        <w:t>.</w:t>
      </w:r>
    </w:p>
    <w:p w:rsidR="00BE243B" w:rsidRDefault="00BE243B" w:rsidP="00BE243B">
      <w:pPr>
        <w:spacing w:line="340" w:lineRule="atLeast"/>
        <w:jc w:val="center"/>
        <w:rPr>
          <w:b/>
          <w:bCs/>
          <w:sz w:val="28"/>
        </w:rPr>
      </w:pPr>
    </w:p>
    <w:p w:rsidR="00BE243B" w:rsidRDefault="00BE243B" w:rsidP="00BE243B">
      <w:pPr>
        <w:spacing w:line="320" w:lineRule="exact"/>
        <w:ind w:firstLine="720"/>
        <w:jc w:val="both"/>
        <w:rPr>
          <w:sz w:val="28"/>
          <w:szCs w:val="28"/>
        </w:rPr>
      </w:pPr>
      <w:r>
        <w:rPr>
          <w:b/>
          <w:bCs/>
          <w:sz w:val="28"/>
          <w:szCs w:val="28"/>
        </w:rPr>
        <w:t>Điều 1. Sửa đổi, bổ sung, bãi bỏ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sidR="00BE243B" w:rsidRDefault="00BE243B" w:rsidP="00BE243B">
      <w:pPr>
        <w:spacing w:before="120" w:line="320" w:lineRule="exact"/>
        <w:ind w:firstLine="720"/>
        <w:jc w:val="both"/>
        <w:rPr>
          <w:sz w:val="28"/>
          <w:szCs w:val="28"/>
        </w:rPr>
      </w:pPr>
      <w:r>
        <w:rPr>
          <w:sz w:val="28"/>
          <w:szCs w:val="28"/>
        </w:rPr>
        <w:t>1. Điểm đ khoản 2 Điều 9 được sửa đổi, bổ sung như sau:</w:t>
      </w:r>
    </w:p>
    <w:p w:rsidR="00BE243B" w:rsidRDefault="00BE243B" w:rsidP="00BE243B">
      <w:pPr>
        <w:spacing w:before="120" w:line="320" w:lineRule="exact"/>
        <w:ind w:firstLine="720"/>
        <w:jc w:val="both"/>
        <w:rPr>
          <w:sz w:val="28"/>
          <w:szCs w:val="28"/>
        </w:rPr>
      </w:pPr>
      <w:r>
        <w:rPr>
          <w:sz w:val="28"/>
          <w:szCs w:val="28"/>
        </w:rPr>
        <w:t>“đ) Các cổ đông sáng lập phải cùng nhau sở hữu tối thiểu 50% vốn điều lệ khi thành lập ngân hàng thương mại cổ phần, trong đó các cổ đông sáng lập là pháp nhân phải cùng nhau sở hữu tối thiểu 50% tổng số cổ phần của các cổ đông sáng lập;”.</w:t>
      </w:r>
    </w:p>
    <w:p w:rsidR="00BE243B" w:rsidRDefault="00BE243B" w:rsidP="00BE243B">
      <w:pPr>
        <w:spacing w:before="120" w:line="320" w:lineRule="exact"/>
        <w:ind w:firstLine="720"/>
        <w:jc w:val="both"/>
        <w:rPr>
          <w:sz w:val="28"/>
          <w:szCs w:val="28"/>
        </w:rPr>
      </w:pPr>
      <w:r>
        <w:rPr>
          <w:sz w:val="28"/>
          <w:szCs w:val="28"/>
        </w:rPr>
        <w:t>2. Điểm e khoản 2 Điều 9 được sửa đổi, bổ sung như sau:</w:t>
      </w:r>
    </w:p>
    <w:p w:rsidR="00BE243B" w:rsidRDefault="00BE243B" w:rsidP="00BE243B">
      <w:pPr>
        <w:spacing w:before="120" w:line="320" w:lineRule="exact"/>
        <w:ind w:firstLine="720"/>
        <w:jc w:val="both"/>
        <w:rPr>
          <w:sz w:val="28"/>
          <w:szCs w:val="28"/>
          <w:lang w:val="vi-VN"/>
        </w:rPr>
      </w:pPr>
      <w:r>
        <w:rPr>
          <w:sz w:val="28"/>
          <w:szCs w:val="28"/>
        </w:rPr>
        <w:t>“</w:t>
      </w:r>
      <w:r>
        <w:rPr>
          <w:sz w:val="28"/>
          <w:szCs w:val="28"/>
          <w:lang w:val="vi-VN"/>
        </w:rPr>
        <w:t>e) Ngoài các điều kiện quy định tại điểm c, đ khoản này, cổ đông sáng lập là cá nhân phải đáp ứng các điều kiện sau:</w:t>
      </w:r>
    </w:p>
    <w:p w:rsidR="00BE243B" w:rsidRDefault="00BE243B" w:rsidP="00BE243B">
      <w:pPr>
        <w:spacing w:before="120" w:line="320" w:lineRule="exact"/>
        <w:ind w:firstLine="720"/>
        <w:jc w:val="both"/>
        <w:rPr>
          <w:sz w:val="28"/>
          <w:szCs w:val="28"/>
          <w:lang w:val="vi-VN"/>
        </w:rPr>
      </w:pPr>
      <w:r>
        <w:rPr>
          <w:sz w:val="28"/>
          <w:szCs w:val="28"/>
          <w:lang w:val="vi-VN"/>
        </w:rPr>
        <w:lastRenderedPageBreak/>
        <w:t>(i) Mang quốc tịch Việt Nam;</w:t>
      </w:r>
    </w:p>
    <w:p w:rsidR="00BE243B" w:rsidRDefault="00BE243B" w:rsidP="00BE243B">
      <w:pPr>
        <w:spacing w:before="120" w:line="320" w:lineRule="exact"/>
        <w:ind w:firstLine="720"/>
        <w:jc w:val="both"/>
        <w:rPr>
          <w:sz w:val="28"/>
          <w:szCs w:val="28"/>
          <w:lang w:val="vi-VN"/>
        </w:rPr>
      </w:pPr>
      <w:r>
        <w:rPr>
          <w:sz w:val="28"/>
          <w:szCs w:val="28"/>
          <w:lang w:val="vi-VN"/>
        </w:rPr>
        <w:t>(ii) Không thuộc những đối tượng bị cấm theo quy định của Luật Doanh nghiệp;</w:t>
      </w:r>
    </w:p>
    <w:p w:rsidR="00BE243B" w:rsidRDefault="00BE243B" w:rsidP="00BE243B">
      <w:pPr>
        <w:spacing w:before="120" w:line="320" w:lineRule="exact"/>
        <w:ind w:firstLine="720"/>
        <w:jc w:val="both"/>
        <w:rPr>
          <w:sz w:val="28"/>
          <w:szCs w:val="28"/>
        </w:rPr>
      </w:pPr>
      <w:r>
        <w:rPr>
          <w:sz w:val="28"/>
          <w:szCs w:val="28"/>
          <w:lang w:val="vi-VN"/>
        </w:rPr>
        <w:t>(iii) Không được dùng vốn huy động, vốn vay của tổ chức, cá nhân để góp vốn;</w:t>
      </w:r>
    </w:p>
    <w:p w:rsidR="00BE243B" w:rsidRDefault="00BE243B" w:rsidP="00BE243B">
      <w:pPr>
        <w:spacing w:before="120" w:line="320" w:lineRule="exact"/>
        <w:ind w:firstLine="720"/>
        <w:jc w:val="both"/>
        <w:rPr>
          <w:sz w:val="28"/>
          <w:szCs w:val="28"/>
        </w:rPr>
      </w:pPr>
      <w:r>
        <w:rPr>
          <w:sz w:val="28"/>
          <w:szCs w:val="28"/>
        </w:rPr>
        <w:t>(iv) Là người quản lý doanh nghiệp kinh doanh có lãi trong ít nhất 03 năm liền kề năm nộp hồ sơ đề nghị cấp Giấy phép hoặc có bằng đại học, trên đại học chuyên ngành kinh tế hoặc luật;</w:t>
      </w:r>
      <w:proofErr w:type="gramStart"/>
      <w:r>
        <w:rPr>
          <w:sz w:val="28"/>
          <w:szCs w:val="28"/>
          <w:lang w:val="vi-VN"/>
        </w:rPr>
        <w:t>”</w:t>
      </w:r>
      <w:r>
        <w:rPr>
          <w:sz w:val="28"/>
          <w:szCs w:val="28"/>
        </w:rPr>
        <w:t>.</w:t>
      </w:r>
      <w:proofErr w:type="gramEnd"/>
    </w:p>
    <w:p w:rsidR="00BE243B" w:rsidRDefault="00BE243B" w:rsidP="00BE243B">
      <w:pPr>
        <w:spacing w:before="120" w:line="320" w:lineRule="exact"/>
        <w:ind w:firstLine="720"/>
        <w:jc w:val="both"/>
        <w:rPr>
          <w:sz w:val="28"/>
          <w:szCs w:val="28"/>
        </w:rPr>
      </w:pPr>
      <w:r>
        <w:rPr>
          <w:sz w:val="28"/>
          <w:szCs w:val="28"/>
        </w:rPr>
        <w:t>3. Điểm g (ii) khoản 2 Điều 9 được sửa đổi, bổ sung như sau:</w:t>
      </w:r>
    </w:p>
    <w:p w:rsidR="00BE243B" w:rsidRDefault="00BE243B" w:rsidP="00BE243B">
      <w:pPr>
        <w:spacing w:before="120" w:line="320" w:lineRule="exact"/>
        <w:ind w:firstLine="720"/>
        <w:jc w:val="both"/>
        <w:rPr>
          <w:sz w:val="28"/>
          <w:szCs w:val="28"/>
        </w:rPr>
      </w:pPr>
      <w:r>
        <w:rPr>
          <w:sz w:val="28"/>
          <w:szCs w:val="28"/>
        </w:rPr>
        <w:t>“(ii) Không được dùng vốn huy động, vốn vay của tổ chức, cá nhân khác để góp vốn;</w:t>
      </w:r>
      <w:proofErr w:type="gramStart"/>
      <w:r>
        <w:rPr>
          <w:sz w:val="28"/>
          <w:szCs w:val="28"/>
        </w:rPr>
        <w:t>”.</w:t>
      </w:r>
      <w:proofErr w:type="gramEnd"/>
    </w:p>
    <w:p w:rsidR="00BE243B" w:rsidRDefault="00BE243B" w:rsidP="00BE243B">
      <w:pPr>
        <w:spacing w:before="120" w:line="320" w:lineRule="exact"/>
        <w:ind w:firstLine="720"/>
        <w:jc w:val="both"/>
        <w:rPr>
          <w:sz w:val="28"/>
          <w:szCs w:val="28"/>
        </w:rPr>
      </w:pPr>
      <w:r>
        <w:rPr>
          <w:sz w:val="28"/>
          <w:szCs w:val="28"/>
        </w:rPr>
        <w:t xml:space="preserve">4. </w:t>
      </w:r>
      <w:r>
        <w:rPr>
          <w:sz w:val="28"/>
          <w:szCs w:val="28"/>
          <w:lang w:val="vi-VN"/>
        </w:rPr>
        <w:t>Bãi bỏ các điểm a, b, d khoản 2 Điều 9</w:t>
      </w:r>
      <w:r>
        <w:rPr>
          <w:sz w:val="28"/>
          <w:szCs w:val="28"/>
        </w:rPr>
        <w:t xml:space="preserve">; bãi bỏ cụm từ “a, b,” tại điểm g khoản 2 Điều 9, khoản 3 Điều 10.  </w:t>
      </w:r>
    </w:p>
    <w:p w:rsidR="00BE243B" w:rsidRDefault="00BE243B" w:rsidP="00BE243B">
      <w:pPr>
        <w:spacing w:before="120" w:line="320" w:lineRule="exact"/>
        <w:ind w:firstLine="720"/>
        <w:jc w:val="both"/>
        <w:rPr>
          <w:sz w:val="28"/>
          <w:szCs w:val="28"/>
        </w:rPr>
      </w:pPr>
      <w:r>
        <w:rPr>
          <w:b/>
          <w:bCs/>
          <w:sz w:val="28"/>
          <w:szCs w:val="28"/>
        </w:rPr>
        <w:t>Điều 2. Bãi bỏ một số điều của Thông tư số 21/2013/TT-NHNN ngày 9 tháng 9 năm 2013 của Thống đốc Ngân hàng Nhà nước Việt Nam quy định về mạng lưới hoạt động của ngân hàng thương mại</w:t>
      </w:r>
    </w:p>
    <w:p w:rsidR="00BE243B" w:rsidRDefault="00BE243B" w:rsidP="00BE243B">
      <w:pPr>
        <w:spacing w:before="120" w:line="320" w:lineRule="exact"/>
        <w:jc w:val="both"/>
        <w:rPr>
          <w:sz w:val="28"/>
          <w:szCs w:val="28"/>
        </w:rPr>
      </w:pPr>
      <w:r>
        <w:rPr>
          <w:sz w:val="28"/>
          <w:szCs w:val="28"/>
        </w:rPr>
        <w:tab/>
        <w:t>Bãi bỏ điểm i khoản 1 Điều 6.</w:t>
      </w:r>
    </w:p>
    <w:p w:rsidR="00BE243B" w:rsidRDefault="00BE243B" w:rsidP="00BE243B">
      <w:pPr>
        <w:spacing w:before="120" w:line="320" w:lineRule="exact"/>
        <w:jc w:val="both"/>
        <w:rPr>
          <w:b/>
          <w:bCs/>
          <w:sz w:val="28"/>
          <w:szCs w:val="28"/>
        </w:rPr>
      </w:pPr>
      <w:r>
        <w:rPr>
          <w:sz w:val="28"/>
          <w:szCs w:val="28"/>
        </w:rPr>
        <w:tab/>
      </w:r>
      <w:r>
        <w:rPr>
          <w:b/>
          <w:bCs/>
          <w:sz w:val="28"/>
          <w:szCs w:val="28"/>
        </w:rPr>
        <w:t>Điều 3. Bãi bỏ một số điều của Thông tư số 21/2014/TT-NHNN ngày 14 tháng 8 năm 2014 của Thống đốc Ngân hàng Nhà nước Việt Nam hướng dẫn về phạm vi hoạt động ngoại hối, điều kiện, trình tự, thủ tục chấp thuận hoạt động ngoại hối của tổ chức tín dụng, chi nhánh ngân hàng nước ngoài</w:t>
      </w:r>
    </w:p>
    <w:p w:rsidR="00BE243B" w:rsidRDefault="00BE243B" w:rsidP="00BE243B">
      <w:pPr>
        <w:spacing w:before="120" w:line="320" w:lineRule="exact"/>
        <w:jc w:val="both"/>
        <w:rPr>
          <w:bCs/>
          <w:sz w:val="28"/>
          <w:szCs w:val="28"/>
        </w:rPr>
      </w:pPr>
      <w:r>
        <w:rPr>
          <w:b/>
          <w:bCs/>
          <w:sz w:val="28"/>
          <w:szCs w:val="28"/>
        </w:rPr>
        <w:tab/>
      </w:r>
      <w:r>
        <w:rPr>
          <w:bCs/>
          <w:sz w:val="28"/>
          <w:szCs w:val="28"/>
        </w:rPr>
        <w:t>Bãi bỏ điểm a khoản 2 Điều 10 (đã được sửa đổi, bổ sung bởi khoản 10 Điều 1 Thông tư số 28/2016/TT-NHNN ngày 5 tháng 10 năm 2016 sửa đổi, bổ sung một số điều của Thông tư số 21/2014/TT-NHNN ngày 14 tháng 8 năm 2014 của Thống đốc Ngân hàng Nhà nước Việt Nam hướng dẫn về phạm vi hoạt động ngoại hối, điều kiện, trình tự, thủ tục chấp thuận hoạt động ngoại hối của tổ chức tín dụng, chi nhánh ngân hàng nước ngoài).</w:t>
      </w:r>
    </w:p>
    <w:p w:rsidR="00BE243B" w:rsidRDefault="00BE243B" w:rsidP="00BE243B">
      <w:pPr>
        <w:spacing w:before="120" w:line="320" w:lineRule="exact"/>
        <w:jc w:val="both"/>
        <w:rPr>
          <w:b/>
          <w:bCs/>
          <w:sz w:val="28"/>
          <w:szCs w:val="28"/>
        </w:rPr>
      </w:pPr>
      <w:r>
        <w:rPr>
          <w:b/>
          <w:bCs/>
          <w:sz w:val="28"/>
          <w:szCs w:val="28"/>
        </w:rPr>
        <w:tab/>
        <w:t>Điều 4. Sửa đổi, bổ sung, bãi bỏ một số điều của Thông tư số 30/2015/TT-NHNN ngày 25 tháng 12 năm 2015 của Thống đốc Ngân hàng Nhà nước Việt Nam quy định việc cấp Giấy phép, tổ chức và hoạt động của tổ chức tín dụng phi ngân hàng</w:t>
      </w:r>
    </w:p>
    <w:p w:rsidR="00BE243B" w:rsidRDefault="00BE243B" w:rsidP="00BE243B">
      <w:pPr>
        <w:spacing w:before="120" w:line="320" w:lineRule="exact"/>
        <w:jc w:val="both"/>
        <w:rPr>
          <w:sz w:val="28"/>
          <w:szCs w:val="28"/>
        </w:rPr>
      </w:pPr>
      <w:r>
        <w:rPr>
          <w:b/>
          <w:sz w:val="28"/>
          <w:szCs w:val="28"/>
        </w:rPr>
        <w:tab/>
      </w:r>
      <w:r>
        <w:rPr>
          <w:sz w:val="28"/>
          <w:szCs w:val="28"/>
        </w:rPr>
        <w:t>1. Khoản 5 Điều 11 (đã được sửa đổi, bổ sung bởi khoản 2 Điều 1 Thông tư số 15/2016/TT-NHNN ngày 30 tháng 6 năm 2016 sửa đổi, bổ sung một số điều của Thông tư số 30/2015/TT-NHNN ngày 25 tháng 12 năm 2015 của Thống đốc Ngân hàng Nhà nước quy định việc cấp Giấy phép, tổ chức và hoạt động của tổ chức tín dụng phi ngân hàng) được sửa đổi, bổ sung như sau:</w:t>
      </w:r>
    </w:p>
    <w:p w:rsidR="00BE243B" w:rsidRDefault="00BE243B" w:rsidP="00BE243B">
      <w:pPr>
        <w:spacing w:before="120" w:line="320" w:lineRule="exact"/>
        <w:jc w:val="both"/>
        <w:rPr>
          <w:sz w:val="28"/>
          <w:szCs w:val="28"/>
        </w:rPr>
      </w:pPr>
      <w:r>
        <w:rPr>
          <w:sz w:val="28"/>
          <w:szCs w:val="28"/>
        </w:rPr>
        <w:tab/>
        <w:t>“5. Không được dùng vốn huy động, vốn vay của tổ chức, cá nhân khác để góp vốn.</w:t>
      </w:r>
      <w:proofErr w:type="gramStart"/>
      <w:r>
        <w:rPr>
          <w:sz w:val="28"/>
          <w:szCs w:val="28"/>
        </w:rPr>
        <w:t>”.</w:t>
      </w:r>
      <w:proofErr w:type="gramEnd"/>
    </w:p>
    <w:p w:rsidR="00BE243B" w:rsidRDefault="00BE243B" w:rsidP="00BE243B">
      <w:pPr>
        <w:spacing w:before="120" w:line="320" w:lineRule="exact"/>
        <w:jc w:val="both"/>
        <w:rPr>
          <w:sz w:val="28"/>
          <w:szCs w:val="28"/>
        </w:rPr>
      </w:pPr>
      <w:r>
        <w:rPr>
          <w:sz w:val="28"/>
          <w:szCs w:val="28"/>
        </w:rPr>
        <w:lastRenderedPageBreak/>
        <w:tab/>
        <w:t>2. Điểm a khoản 6 Điều 11 (đã được sửa đổi, bổ sung bởi khoản 2 Điều 1 Thông tư số 15/2016/TT-NHNN ngày 30 tháng 6 năm 2016 sửa đổi, bổ sung một số điều của Thông tư số 30/2015/TT-NHNN ngày 25 tháng 12 năm 2015 của Thống đốc Ngân hàng Nhà nước quy định việc cấp Giấy phép, tổ chức và hoạt động của tổ chức tín dụng phi ngân hàng) được sửa đổi, bổ sung như sau:</w:t>
      </w:r>
    </w:p>
    <w:p w:rsidR="00BE243B" w:rsidRDefault="00BE243B" w:rsidP="00BE243B">
      <w:pPr>
        <w:spacing w:before="120" w:line="320" w:lineRule="exact"/>
        <w:jc w:val="both"/>
        <w:rPr>
          <w:sz w:val="28"/>
          <w:szCs w:val="28"/>
        </w:rPr>
      </w:pPr>
      <w:r>
        <w:rPr>
          <w:sz w:val="28"/>
          <w:szCs w:val="28"/>
        </w:rPr>
        <w:tab/>
        <w:t>“</w:t>
      </w:r>
      <w:proofErr w:type="gramStart"/>
      <w:r>
        <w:rPr>
          <w:sz w:val="28"/>
          <w:szCs w:val="28"/>
        </w:rPr>
        <w:t>a</w:t>
      </w:r>
      <w:proofErr w:type="gramEnd"/>
      <w:r>
        <w:rPr>
          <w:sz w:val="28"/>
          <w:szCs w:val="28"/>
        </w:rPr>
        <w:t>) Mang quốc tịch Việt Nam;”.</w:t>
      </w:r>
    </w:p>
    <w:p w:rsidR="00BE243B" w:rsidRDefault="00BE243B" w:rsidP="00BE243B">
      <w:pPr>
        <w:spacing w:before="120" w:line="320" w:lineRule="exact"/>
        <w:jc w:val="both"/>
        <w:rPr>
          <w:sz w:val="28"/>
          <w:szCs w:val="28"/>
        </w:rPr>
      </w:pPr>
      <w:r>
        <w:rPr>
          <w:sz w:val="28"/>
          <w:szCs w:val="28"/>
        </w:rPr>
        <w:tab/>
        <w:t>3. Bãi bỏ các khoản 1, 2, 3 Điều 11.</w:t>
      </w:r>
    </w:p>
    <w:p w:rsidR="00BE243B" w:rsidRDefault="00BE243B" w:rsidP="00BE243B">
      <w:pPr>
        <w:spacing w:before="120" w:line="320" w:lineRule="exact"/>
        <w:jc w:val="both"/>
        <w:rPr>
          <w:b/>
          <w:bCs/>
          <w:sz w:val="28"/>
          <w:szCs w:val="28"/>
        </w:rPr>
      </w:pPr>
      <w:r>
        <w:rPr>
          <w:sz w:val="28"/>
          <w:szCs w:val="28"/>
        </w:rPr>
        <w:tab/>
      </w:r>
      <w:r>
        <w:rPr>
          <w:b/>
          <w:sz w:val="28"/>
          <w:szCs w:val="28"/>
        </w:rPr>
        <w:t xml:space="preserve">Điều 5. </w:t>
      </w:r>
      <w:r>
        <w:rPr>
          <w:b/>
          <w:bCs/>
          <w:sz w:val="28"/>
          <w:szCs w:val="28"/>
        </w:rPr>
        <w:t>Bãi bỏ một số điều của Thông tư số 31/2012/TT-NHNN ngày 26 tháng 11 năm 2012 của Thống đốc Ngân hàng Nhà nước Việt Nam quy định về ngân hàng hợp tác xã</w:t>
      </w:r>
    </w:p>
    <w:p w:rsidR="00BE243B" w:rsidRDefault="00BE243B" w:rsidP="00BE243B">
      <w:pPr>
        <w:spacing w:before="120" w:line="320" w:lineRule="exact"/>
        <w:jc w:val="both"/>
        <w:rPr>
          <w:sz w:val="28"/>
          <w:szCs w:val="28"/>
        </w:rPr>
      </w:pPr>
      <w:r>
        <w:rPr>
          <w:sz w:val="28"/>
          <w:szCs w:val="28"/>
        </w:rPr>
        <w:tab/>
        <w:t>Bãi bỏ khoản 6 Điều 8, khoản 1 Điều 25.</w:t>
      </w:r>
    </w:p>
    <w:p w:rsidR="00BE243B" w:rsidRDefault="00BE243B" w:rsidP="00BE243B">
      <w:pPr>
        <w:spacing w:before="120" w:line="320" w:lineRule="exact"/>
        <w:jc w:val="both"/>
        <w:rPr>
          <w:b/>
          <w:bCs/>
          <w:sz w:val="28"/>
          <w:szCs w:val="28"/>
        </w:rPr>
      </w:pPr>
      <w:r>
        <w:rPr>
          <w:sz w:val="28"/>
          <w:szCs w:val="28"/>
        </w:rPr>
        <w:tab/>
      </w:r>
      <w:r>
        <w:rPr>
          <w:b/>
          <w:sz w:val="28"/>
          <w:szCs w:val="28"/>
        </w:rPr>
        <w:t xml:space="preserve">Điều 6. </w:t>
      </w:r>
      <w:r>
        <w:rPr>
          <w:b/>
          <w:bCs/>
          <w:sz w:val="28"/>
          <w:szCs w:val="28"/>
        </w:rPr>
        <w:t>Bãi bỏ một số điều của Thông tư số 04/2015/TT-NHNN ngày 31 tháng 3 năm 2015 của Thống đốc Ngân hàng Nhà nước Việt Nam quy định về quỹ tín dụng nhân dân</w:t>
      </w:r>
    </w:p>
    <w:p w:rsidR="00BE243B" w:rsidRDefault="00BE243B" w:rsidP="00BE243B">
      <w:pPr>
        <w:spacing w:before="120" w:line="320" w:lineRule="exact"/>
        <w:jc w:val="both"/>
        <w:rPr>
          <w:bCs/>
          <w:sz w:val="28"/>
          <w:szCs w:val="28"/>
        </w:rPr>
      </w:pPr>
      <w:r>
        <w:rPr>
          <w:b/>
          <w:bCs/>
          <w:sz w:val="28"/>
          <w:szCs w:val="28"/>
        </w:rPr>
        <w:tab/>
      </w:r>
      <w:r>
        <w:rPr>
          <w:bCs/>
          <w:sz w:val="28"/>
          <w:szCs w:val="28"/>
        </w:rPr>
        <w:t xml:space="preserve">Bãi bỏ điểm d khoản 1 Điều 31 (đã được sửa đổi, bổ sung bởi khoản 3 Điều 2 Thông tư số 06/2017/TT-NHNN ngày 5 tháng 7 năm 2017 </w:t>
      </w:r>
      <w:r>
        <w:rPr>
          <w:bCs/>
          <w:iCs/>
          <w:sz w:val="28"/>
          <w:szCs w:val="28"/>
        </w:rPr>
        <w:t xml:space="preserve">sửa đổi, bổ sung một số điều của Thông tư số </w:t>
      </w:r>
      <w:hyperlink r:id="rId4" w:tgtFrame="_blank" w:tooltip="Thông tư 03/2014/TT-NHNN" w:history="1">
        <w:r>
          <w:rPr>
            <w:rStyle w:val="Hyperlink"/>
            <w:bCs/>
            <w:iCs/>
            <w:sz w:val="28"/>
            <w:szCs w:val="28"/>
          </w:rPr>
          <w:t>03/2014/TT-NHNN</w:t>
        </w:r>
      </w:hyperlink>
      <w:r>
        <w:rPr>
          <w:bCs/>
          <w:iCs/>
          <w:sz w:val="28"/>
          <w:szCs w:val="28"/>
        </w:rPr>
        <w:t xml:space="preserve"> ngày 23 tháng 01 năm 2014 của Thống đốc Ngân hàng Nhà nước quy định về Quỹ bảo đảm an toàn hệ thống quỹ tín dụng nhân dân và Thông tư số </w:t>
      </w:r>
      <w:hyperlink r:id="rId5" w:tgtFrame="_blank" w:tooltip="Thông tư 04/2015/TT-NHNN" w:history="1">
        <w:r>
          <w:rPr>
            <w:rStyle w:val="Hyperlink"/>
            <w:bCs/>
            <w:iCs/>
            <w:sz w:val="28"/>
            <w:szCs w:val="28"/>
          </w:rPr>
          <w:t>04/2015/TT-NHNN</w:t>
        </w:r>
      </w:hyperlink>
      <w:r>
        <w:rPr>
          <w:bCs/>
          <w:iCs/>
          <w:sz w:val="28"/>
          <w:szCs w:val="28"/>
        </w:rPr>
        <w:t xml:space="preserve"> ngày 31 tháng 3 năm 2015 của Thống đốc Ngân hàng Nhà nước quy định về quỹ tín dụng nhân dân</w:t>
      </w:r>
      <w:r>
        <w:rPr>
          <w:bCs/>
          <w:sz w:val="28"/>
          <w:szCs w:val="28"/>
        </w:rPr>
        <w:t>).</w:t>
      </w:r>
    </w:p>
    <w:p w:rsidR="00BE243B" w:rsidRDefault="00BE243B" w:rsidP="00BE243B">
      <w:pPr>
        <w:spacing w:before="120" w:line="320" w:lineRule="exact"/>
        <w:ind w:firstLine="720"/>
        <w:jc w:val="both"/>
        <w:rPr>
          <w:b/>
          <w:bCs/>
          <w:sz w:val="28"/>
          <w:szCs w:val="28"/>
          <w:lang w:val="da-DK"/>
        </w:rPr>
      </w:pPr>
      <w:r>
        <w:rPr>
          <w:b/>
          <w:bCs/>
          <w:sz w:val="28"/>
          <w:szCs w:val="28"/>
          <w:lang w:val="da-DK"/>
        </w:rPr>
        <w:t>Điều 7. Trách nhiệm tổ chức thực hiện</w:t>
      </w:r>
    </w:p>
    <w:p w:rsidR="00BE243B" w:rsidRDefault="00BE243B" w:rsidP="00BE243B">
      <w:pPr>
        <w:spacing w:before="120" w:line="320" w:lineRule="exact"/>
        <w:ind w:firstLine="720"/>
        <w:jc w:val="both"/>
        <w:rPr>
          <w:sz w:val="28"/>
          <w:szCs w:val="28"/>
          <w:lang w:val="da-DK"/>
        </w:rPr>
      </w:pPr>
      <w:r>
        <w:rPr>
          <w:sz w:val="28"/>
          <w:szCs w:val="28"/>
          <w:lang w:val="da-DK"/>
        </w:rPr>
        <w:t>Chánh Văn phòng, Vụ trưởng Vụ Pháp chế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BE243B" w:rsidRDefault="00BE243B" w:rsidP="00BE243B">
      <w:pPr>
        <w:spacing w:before="120" w:line="320" w:lineRule="exact"/>
        <w:ind w:firstLine="720"/>
        <w:jc w:val="both"/>
        <w:rPr>
          <w:b/>
          <w:bCs/>
          <w:sz w:val="28"/>
          <w:szCs w:val="28"/>
          <w:lang w:val="da-DK"/>
        </w:rPr>
      </w:pPr>
      <w:r>
        <w:rPr>
          <w:b/>
          <w:bCs/>
          <w:sz w:val="28"/>
          <w:szCs w:val="28"/>
          <w:lang w:val="da-DK"/>
        </w:rPr>
        <w:t>Điều 8. Điều khoản thi hành</w:t>
      </w:r>
    </w:p>
    <w:p w:rsidR="00BE243B" w:rsidRDefault="00BE243B" w:rsidP="00BE243B">
      <w:pPr>
        <w:spacing w:before="120" w:line="320" w:lineRule="exact"/>
        <w:ind w:firstLine="720"/>
        <w:jc w:val="both"/>
        <w:rPr>
          <w:sz w:val="28"/>
          <w:szCs w:val="28"/>
          <w:lang w:val="da-DK"/>
        </w:rPr>
      </w:pPr>
      <w:r>
        <w:rPr>
          <w:sz w:val="28"/>
          <w:szCs w:val="28"/>
          <w:lang w:val="da-DK"/>
        </w:rPr>
        <w:t>Thông tư này có hiệu lực thi hành kể từ ngày  01 tháng   10 năm 2018./.</w:t>
      </w:r>
    </w:p>
    <w:p w:rsidR="00BE243B" w:rsidRDefault="00BE243B" w:rsidP="00BE243B">
      <w:pPr>
        <w:spacing w:before="120" w:line="320" w:lineRule="exact"/>
        <w:ind w:firstLine="720"/>
        <w:jc w:val="both"/>
        <w:rPr>
          <w:sz w:val="28"/>
          <w:szCs w:val="28"/>
          <w:lang w:val="da-DK"/>
        </w:rPr>
      </w:pPr>
    </w:p>
    <w:tbl>
      <w:tblPr>
        <w:tblW w:w="9270" w:type="dxa"/>
        <w:tblInd w:w="18" w:type="dxa"/>
        <w:tblLook w:val="04A0" w:firstRow="1" w:lastRow="0" w:firstColumn="1" w:lastColumn="0" w:noHBand="0" w:noVBand="1"/>
      </w:tblPr>
      <w:tblGrid>
        <w:gridCol w:w="5025"/>
        <w:gridCol w:w="4245"/>
      </w:tblGrid>
      <w:tr w:rsidR="00BE243B" w:rsidTr="00BE243B">
        <w:trPr>
          <w:trHeight w:val="347"/>
        </w:trPr>
        <w:tc>
          <w:tcPr>
            <w:tcW w:w="5025" w:type="dxa"/>
            <w:hideMark/>
          </w:tcPr>
          <w:p w:rsidR="00BE243B" w:rsidRDefault="00BE243B">
            <w:pPr>
              <w:spacing w:line="228" w:lineRule="auto"/>
              <w:jc w:val="both"/>
              <w:rPr>
                <w:bCs/>
                <w:lang w:val="pt-BR" w:eastAsia="vi-VN"/>
              </w:rPr>
            </w:pPr>
            <w:r>
              <w:rPr>
                <w:b/>
                <w:bCs/>
                <w:i/>
                <w:lang w:val="pt-BR" w:eastAsia="vi-VN"/>
              </w:rPr>
              <w:t>Nơi nhận:</w:t>
            </w:r>
          </w:p>
          <w:p w:rsidR="00BE243B" w:rsidRDefault="00BE243B">
            <w:pPr>
              <w:rPr>
                <w:sz w:val="22"/>
                <w:lang w:val="de-DE"/>
              </w:rPr>
            </w:pPr>
            <w:r>
              <w:rPr>
                <w:sz w:val="22"/>
                <w:lang w:val="de-DE"/>
              </w:rPr>
              <w:t>- Như Điều 7;</w:t>
            </w:r>
          </w:p>
          <w:p w:rsidR="00BE243B" w:rsidRDefault="00BE243B">
            <w:pPr>
              <w:rPr>
                <w:sz w:val="22"/>
                <w:lang w:val="de-DE"/>
              </w:rPr>
            </w:pPr>
            <w:r>
              <w:rPr>
                <w:sz w:val="22"/>
                <w:lang w:val="de-DE"/>
              </w:rPr>
              <w:t>- Ban Lãnh đạo NHNN;</w:t>
            </w:r>
          </w:p>
          <w:p w:rsidR="00BE243B" w:rsidRDefault="00BE243B">
            <w:pPr>
              <w:rPr>
                <w:sz w:val="22"/>
                <w:lang w:val="de-DE"/>
              </w:rPr>
            </w:pPr>
            <w:r>
              <w:rPr>
                <w:sz w:val="22"/>
                <w:lang w:val="de-DE"/>
              </w:rPr>
              <w:t>- Văn phòng Chính phủ;</w:t>
            </w:r>
          </w:p>
          <w:p w:rsidR="00BE243B" w:rsidRDefault="00BE243B">
            <w:pPr>
              <w:rPr>
                <w:sz w:val="22"/>
                <w:lang w:val="de-DE"/>
              </w:rPr>
            </w:pPr>
            <w:r>
              <w:rPr>
                <w:sz w:val="22"/>
                <w:lang w:val="de-DE"/>
              </w:rPr>
              <w:t>- Bộ Tư pháp (để kiểm tra);</w:t>
            </w:r>
          </w:p>
          <w:p w:rsidR="00BE243B" w:rsidRDefault="00BE243B">
            <w:pPr>
              <w:rPr>
                <w:sz w:val="22"/>
                <w:lang w:val="de-DE"/>
              </w:rPr>
            </w:pPr>
            <w:r>
              <w:rPr>
                <w:sz w:val="22"/>
                <w:lang w:val="de-DE"/>
              </w:rPr>
              <w:t>- Công báo;</w:t>
            </w:r>
          </w:p>
          <w:p w:rsidR="00BE243B" w:rsidRDefault="00BE243B">
            <w:pPr>
              <w:rPr>
                <w:sz w:val="22"/>
                <w:szCs w:val="22"/>
                <w:lang w:val="de-DE" w:eastAsia="vi-VN"/>
              </w:rPr>
            </w:pPr>
            <w:r>
              <w:rPr>
                <w:sz w:val="22"/>
                <w:lang w:val="de-DE"/>
              </w:rPr>
              <w:t>- Lưu: VP, PC.</w:t>
            </w:r>
          </w:p>
        </w:tc>
        <w:tc>
          <w:tcPr>
            <w:tcW w:w="4245" w:type="dxa"/>
          </w:tcPr>
          <w:p w:rsidR="00BE243B" w:rsidRDefault="00BE243B">
            <w:pPr>
              <w:spacing w:line="264" w:lineRule="auto"/>
              <w:jc w:val="center"/>
              <w:rPr>
                <w:b/>
                <w:sz w:val="28"/>
                <w:szCs w:val="28"/>
                <w:lang w:val="pt-BR" w:eastAsia="vi-VN"/>
              </w:rPr>
            </w:pPr>
            <w:r>
              <w:rPr>
                <w:b/>
                <w:sz w:val="28"/>
                <w:szCs w:val="28"/>
                <w:lang w:val="pt-BR" w:eastAsia="vi-VN"/>
              </w:rPr>
              <w:t>THỐNG ĐỐC</w:t>
            </w:r>
            <w:bookmarkStart w:id="0" w:name="_GoBack"/>
            <w:bookmarkEnd w:id="0"/>
          </w:p>
          <w:p w:rsidR="00BE243B" w:rsidRDefault="00BE243B">
            <w:pPr>
              <w:spacing w:line="264" w:lineRule="auto"/>
              <w:jc w:val="center"/>
              <w:rPr>
                <w:b/>
                <w:sz w:val="28"/>
                <w:szCs w:val="28"/>
                <w:lang w:val="pt-BR" w:eastAsia="vi-VN"/>
              </w:rPr>
            </w:pPr>
          </w:p>
          <w:p w:rsidR="00BE243B" w:rsidRDefault="00BE243B">
            <w:pPr>
              <w:spacing w:line="264" w:lineRule="auto"/>
              <w:jc w:val="center"/>
              <w:rPr>
                <w:b/>
                <w:sz w:val="28"/>
                <w:szCs w:val="28"/>
                <w:lang w:val="pt-BR" w:eastAsia="vi-VN"/>
              </w:rPr>
            </w:pPr>
          </w:p>
          <w:p w:rsidR="00BE243B" w:rsidRDefault="00BE243B">
            <w:pPr>
              <w:spacing w:before="120" w:line="264" w:lineRule="auto"/>
              <w:jc w:val="center"/>
              <w:rPr>
                <w:b/>
                <w:sz w:val="28"/>
                <w:szCs w:val="28"/>
                <w:lang w:val="pt-BR" w:eastAsia="vi-VN"/>
              </w:rPr>
            </w:pPr>
          </w:p>
        </w:tc>
      </w:tr>
    </w:tbl>
    <w:p w:rsidR="005C7EE7" w:rsidRDefault="005C7EE7"/>
    <w:sectPr w:rsidR="005C7EE7" w:rsidSect="00BE243B">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3B"/>
    <w:rsid w:val="005C7EE7"/>
    <w:rsid w:val="00BE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B6751-D73D-435E-BDB2-24F4755C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4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E243B"/>
    <w:rPr>
      <w:color w:val="0000FF"/>
      <w:u w:val="single"/>
    </w:rPr>
  </w:style>
  <w:style w:type="paragraph" w:styleId="NormalWeb">
    <w:name w:val="Normal (Web)"/>
    <w:basedOn w:val="Normal"/>
    <w:uiPriority w:val="99"/>
    <w:semiHidden/>
    <w:unhideWhenUsed/>
    <w:rsid w:val="00BE24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ien-te-ngan-hang/thong-tu-04-2015-tt-nhnn-quy-tin-dung-nhan-dan-270443.aspx" TargetMode="External"/><Relationship Id="rId10" Type="http://schemas.openxmlformats.org/officeDocument/2006/relationships/customXml" Target="../customXml/item3.xml"/><Relationship Id="rId4" Type="http://schemas.openxmlformats.org/officeDocument/2006/relationships/hyperlink" Target="https://thuvienphapluat.vn/van-ban/tien-te-ngan-hang/thong-tu-03-2014-tt-nhnn-quy-bao-dam-an-toan-he-thong-quy-tin-dung-nhan-dan-223666.aspx"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43097-8E7D-4728-BF59-A68D5F76DD7A}"/>
</file>

<file path=customXml/itemProps2.xml><?xml version="1.0" encoding="utf-8"?>
<ds:datastoreItem xmlns:ds="http://schemas.openxmlformats.org/officeDocument/2006/customXml" ds:itemID="{9DB77BE9-1560-48B9-9B04-FDE8EE677306}"/>
</file>

<file path=customXml/itemProps3.xml><?xml version="1.0" encoding="utf-8"?>
<ds:datastoreItem xmlns:ds="http://schemas.openxmlformats.org/officeDocument/2006/customXml" ds:itemID="{E1F82548-F0B8-4EBC-84E7-FCF02510F957}"/>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Vu Quoc Thanh (PC)</cp:lastModifiedBy>
  <cp:revision>1</cp:revision>
  <dcterms:created xsi:type="dcterms:W3CDTF">2018-08-15T08:29:00Z</dcterms:created>
  <dcterms:modified xsi:type="dcterms:W3CDTF">2018-08-15T08:32:00Z</dcterms:modified>
</cp:coreProperties>
</file>